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E0" w:rsidRDefault="00B14BE0" w:rsidP="005E1B07">
      <w:pPr>
        <w:pStyle w:val="Normale1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B14BE0" w:rsidRDefault="00B14BE0" w:rsidP="005E1B07">
      <w:pPr>
        <w:pStyle w:val="Normale1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B14BE0" w:rsidRPr="00E718CB" w:rsidRDefault="009C7657" w:rsidP="005E1B07">
      <w:pPr>
        <w:pStyle w:val="Normale1"/>
        <w:jc w:val="both"/>
      </w:pPr>
      <w:r w:rsidRPr="00E718CB">
        <w:rPr>
          <w:rFonts w:ascii="Times New Roman" w:eastAsia="Times New Roman" w:hAnsi="Times New Roman" w:cs="Times New Roman"/>
        </w:rPr>
        <w:t>Comunicato Stampa</w:t>
      </w:r>
      <w:r w:rsidR="00E718CB">
        <w:rPr>
          <w:rFonts w:ascii="Times New Roman" w:eastAsia="Times New Roman" w:hAnsi="Times New Roman" w:cs="Times New Roman"/>
        </w:rPr>
        <w:t xml:space="preserve"> n.</w:t>
      </w:r>
      <w:r w:rsidR="00676B55">
        <w:rPr>
          <w:rFonts w:ascii="Times New Roman" w:eastAsia="Times New Roman" w:hAnsi="Times New Roman" w:cs="Times New Roman"/>
        </w:rPr>
        <w:t>14</w:t>
      </w:r>
      <w:r w:rsidR="00B14BE0" w:rsidRPr="00E718CB">
        <w:rPr>
          <w:rFonts w:ascii="Times New Roman" w:eastAsia="Times New Roman" w:hAnsi="Times New Roman" w:cs="Times New Roman"/>
        </w:rPr>
        <w:t xml:space="preserve">/2017  </w:t>
      </w:r>
    </w:p>
    <w:p w:rsidR="00773D1C" w:rsidRPr="005C0C1F" w:rsidRDefault="00773D1C" w:rsidP="00773D1C">
      <w:pPr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:rsidR="005C0C1F" w:rsidRPr="00492192" w:rsidRDefault="005C0C1F" w:rsidP="005C0C1F">
      <w:pPr>
        <w:jc w:val="both"/>
        <w:rPr>
          <w:b/>
          <w:sz w:val="28"/>
          <w:szCs w:val="28"/>
        </w:rPr>
      </w:pPr>
      <w:r w:rsidRPr="00492192">
        <w:rPr>
          <w:b/>
          <w:sz w:val="28"/>
          <w:szCs w:val="28"/>
        </w:rPr>
        <w:t xml:space="preserve">Convegni ad </w:t>
      </w:r>
      <w:proofErr w:type="spellStart"/>
      <w:r w:rsidRPr="00492192">
        <w:rPr>
          <w:b/>
          <w:sz w:val="28"/>
          <w:szCs w:val="28"/>
        </w:rPr>
        <w:t>Agrilevante</w:t>
      </w:r>
      <w:proofErr w:type="spellEnd"/>
      <w:r w:rsidRPr="00492192">
        <w:rPr>
          <w:b/>
          <w:sz w:val="28"/>
          <w:szCs w:val="28"/>
        </w:rPr>
        <w:t>: i contenuti della rassegna</w:t>
      </w:r>
    </w:p>
    <w:p w:rsidR="008E5C69" w:rsidRDefault="008E5C69" w:rsidP="005C0C1F">
      <w:pPr>
        <w:jc w:val="both"/>
        <w:rPr>
          <w:b/>
          <w:i/>
        </w:rPr>
      </w:pPr>
    </w:p>
    <w:p w:rsidR="00992BFF" w:rsidRDefault="005C0C1F" w:rsidP="005C0C1F">
      <w:pPr>
        <w:jc w:val="both"/>
        <w:rPr>
          <w:b/>
          <w:i/>
        </w:rPr>
      </w:pPr>
      <w:r w:rsidRPr="00492192">
        <w:rPr>
          <w:b/>
          <w:i/>
        </w:rPr>
        <w:t xml:space="preserve">Oltre cinquanta eventi pubblici vivacizzano il programma della rassegna internazionale della meccanica agricola che si tiene </w:t>
      </w:r>
      <w:r w:rsidR="00992BFF">
        <w:rPr>
          <w:b/>
          <w:i/>
        </w:rPr>
        <w:t>a Bari</w:t>
      </w:r>
      <w:r w:rsidRPr="00492192">
        <w:rPr>
          <w:b/>
          <w:i/>
        </w:rPr>
        <w:t xml:space="preserve"> dal 12 al 15 ottobre. Temi di carattere politico, economico e tecnico vengono trattati nel corso di incontri promossi, fra gli altri, da FederUnacoma, Regione Puglia, Università di Bari, Unacma ed ITABIA</w:t>
      </w:r>
      <w:r w:rsidR="00992BFF">
        <w:rPr>
          <w:b/>
          <w:i/>
        </w:rPr>
        <w:t>.</w:t>
      </w:r>
    </w:p>
    <w:p w:rsidR="00992BFF" w:rsidRDefault="00992BFF" w:rsidP="00992BFF">
      <w:pPr>
        <w:jc w:val="both"/>
        <w:rPr>
          <w:b/>
          <w:i/>
        </w:rPr>
      </w:pPr>
    </w:p>
    <w:p w:rsidR="00992BFF" w:rsidRPr="00992BFF" w:rsidRDefault="00992BFF" w:rsidP="00992BFF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992BFF">
        <w:rPr>
          <w:rFonts w:ascii="Times New Roman" w:hAnsi="Times New Roman" w:cs="Times New Roman"/>
          <w:sz w:val="24"/>
          <w:szCs w:val="24"/>
        </w:rPr>
        <w:t>Si apre domani mattina alla Fiera di Bari la V edizi</w:t>
      </w:r>
      <w:r w:rsidRPr="00992BFF">
        <w:rPr>
          <w:rFonts w:ascii="Times New Roman" w:hAnsi="Times New Roman" w:cs="Times New Roman"/>
          <w:sz w:val="24"/>
          <w:szCs w:val="24"/>
        </w:rPr>
        <w:t xml:space="preserve">one di </w:t>
      </w:r>
      <w:proofErr w:type="spellStart"/>
      <w:r w:rsidRPr="00992BFF">
        <w:rPr>
          <w:rFonts w:ascii="Times New Roman" w:hAnsi="Times New Roman" w:cs="Times New Roman"/>
          <w:sz w:val="24"/>
          <w:szCs w:val="24"/>
        </w:rPr>
        <w:t>Agrilevante</w:t>
      </w:r>
      <w:proofErr w:type="spellEnd"/>
      <w:r w:rsidRPr="00992BFF">
        <w:rPr>
          <w:rFonts w:ascii="Times New Roman" w:hAnsi="Times New Roman" w:cs="Times New Roman"/>
          <w:sz w:val="24"/>
          <w:szCs w:val="24"/>
        </w:rPr>
        <w:t xml:space="preserve">, la rassegna </w:t>
      </w:r>
      <w:r w:rsidRPr="00992BFF">
        <w:rPr>
          <w:rFonts w:ascii="Times New Roman" w:hAnsi="Times New Roman" w:cs="Times New Roman"/>
          <w:sz w:val="24"/>
          <w:szCs w:val="24"/>
        </w:rPr>
        <w:t xml:space="preserve">internazionale di macchine </w:t>
      </w:r>
      <w:r w:rsidRPr="00992BFF">
        <w:rPr>
          <w:rFonts w:ascii="Times New Roman" w:hAnsi="Times New Roman" w:cs="Times New Roman"/>
          <w:sz w:val="24"/>
          <w:szCs w:val="24"/>
        </w:rPr>
        <w:t xml:space="preserve">e </w:t>
      </w:r>
      <w:r w:rsidRPr="00992BFF">
        <w:rPr>
          <w:rFonts w:ascii="Times New Roman" w:hAnsi="Times New Roman" w:cs="Times New Roman"/>
          <w:sz w:val="24"/>
          <w:szCs w:val="24"/>
        </w:rPr>
        <w:t xml:space="preserve">tecnologie per l'agricoltura, organizzata da FederUnacoma in collaborazione con Fiera del Levante </w:t>
      </w:r>
      <w:r w:rsidRPr="00992BFF">
        <w:rPr>
          <w:rFonts w:ascii="Times New Roman" w:hAnsi="Times New Roman" w:cs="Times New Roman"/>
          <w:sz w:val="24"/>
          <w:szCs w:val="24"/>
        </w:rPr>
        <w:t xml:space="preserve">e Regione Puglia. </w:t>
      </w:r>
    </w:p>
    <w:p w:rsidR="005C0C1F" w:rsidRDefault="00992BFF" w:rsidP="005C0C1F">
      <w:pPr>
        <w:jc w:val="both"/>
      </w:pPr>
      <w:r>
        <w:t xml:space="preserve">Il programma dei convegni della manifestazione </w:t>
      </w:r>
      <w:r w:rsidR="005C0C1F" w:rsidRPr="00754AAC">
        <w:t>vede in primo piano l’evento dal titolo “Dissesto, incendi, siccità: l’emergenza e le strategie”, promosso da FederUnacoma in collaborazione con la Regione Puglia</w:t>
      </w:r>
      <w:r w:rsidR="00FB5E63">
        <w:t xml:space="preserve">. Il convegno </w:t>
      </w:r>
      <w:r w:rsidR="005C0C1F" w:rsidRPr="00754AAC">
        <w:t xml:space="preserve">parte da una ricognizione delle principali minacce all’ambiente e al territorio e descrive, oltre </w:t>
      </w:r>
      <w:r w:rsidR="00FB5E63">
        <w:t xml:space="preserve">alle </w:t>
      </w:r>
      <w:r w:rsidR="005C0C1F" w:rsidRPr="00754AAC">
        <w:t>metodiche d’intervento, le principali tipologie di macchine da impiegare per la pulizia dei fossi e degli argini e per le manutenzioni forestali. In evidenza è anche il forum sul tema “Economia agricola e stabilità politica: una sfida per l’Africa e il Mediterraneo”, anch’esso promosso da FederUnacoma in collaborazione con la Regione Puglia, che vede la partecipazione di Nomisma (con una ricerca socio-economica appositamente commissionata, relativa su un gruppo di Paesi dell’Africa Sub-sahariana che hanno buone prospettive di sviluppo dell’agricol</w:t>
      </w:r>
      <w:r w:rsidR="00FB5E63">
        <w:t>tura</w:t>
      </w:r>
      <w:r w:rsidR="005C0C1F" w:rsidRPr="00754AAC">
        <w:t xml:space="preserve">) nonché di autorevoli rappresentanti della FAO, dell’Istituto Agronomico Mediterraneo e del Club of Bologna. L’incontro mette in luce come una meccanizzazione appropriata, e coerente con i programmi di cooperazione internazionale per l’Africa, possa produrre  un salto di qualità nell’economia e nella vita sociale delle popolazioni locali. Di notevole spessore è il programma dei convegni realizzato dall’Università di Bari, che comprende eventi su temi quali “La sicurezza nei lavori forestali” o “l’Utilizzo dei droni nell’agricoltura di precisione”, realizzato in collaborazione con il </w:t>
      </w:r>
      <w:proofErr w:type="spellStart"/>
      <w:r w:rsidR="005C0C1F" w:rsidRPr="00754AAC">
        <w:t>Mirumir</w:t>
      </w:r>
      <w:proofErr w:type="spellEnd"/>
      <w:r w:rsidR="005C0C1F" w:rsidRPr="00754AAC">
        <w:t xml:space="preserve">. Nel calendario dei convegni tecnici spiccano l’incontro dell’associazione nazionale di </w:t>
      </w:r>
      <w:r w:rsidR="00FB5E63">
        <w:t>i</w:t>
      </w:r>
      <w:r w:rsidR="005C0C1F" w:rsidRPr="00754AAC">
        <w:t xml:space="preserve">ngegneria agraria AIIA su “Lavorazioni post raccolta nella frutticoltura” e le iniziative promosse da Fondazione </w:t>
      </w:r>
      <w:proofErr w:type="spellStart"/>
      <w:r w:rsidR="005C0C1F" w:rsidRPr="00754AAC">
        <w:t>Biohabitat</w:t>
      </w:r>
      <w:proofErr w:type="spellEnd"/>
      <w:r w:rsidR="005C0C1F" w:rsidRPr="00754AAC">
        <w:t xml:space="preserve"> e Studio Tecnico </w:t>
      </w:r>
      <w:proofErr w:type="spellStart"/>
      <w:r w:rsidR="005C0C1F" w:rsidRPr="00754AAC">
        <w:t>EuD</w:t>
      </w:r>
      <w:proofErr w:type="spellEnd"/>
      <w:r w:rsidR="005C0C1F" w:rsidRPr="00754AAC">
        <w:t xml:space="preserve"> </w:t>
      </w:r>
      <w:proofErr w:type="spellStart"/>
      <w:r w:rsidR="005C0C1F" w:rsidRPr="00754AAC">
        <w:t>Engineering</w:t>
      </w:r>
      <w:proofErr w:type="spellEnd"/>
      <w:r w:rsidR="005C0C1F" w:rsidRPr="00754AAC">
        <w:t xml:space="preserve"> su temi quali “La gestione del verde a destinazione non agricola con metodo biologico” e “Le imprese agro-industriali in Italia: profili di rischio per i reati ambientali”. Ricco il programma di iniziative promoss</w:t>
      </w:r>
      <w:r w:rsidR="00FB5E63">
        <w:t>e</w:t>
      </w:r>
      <w:r w:rsidR="005C0C1F" w:rsidRPr="00754AAC">
        <w:t xml:space="preserve"> da FederUnacoma insieme con Unacma, tra le quali un particolare valore hanno le giornate del </w:t>
      </w:r>
      <w:proofErr w:type="spellStart"/>
      <w:r w:rsidR="005C0C1F" w:rsidRPr="00754AAC">
        <w:t>Mech</w:t>
      </w:r>
      <w:r w:rsidR="00FB5E63">
        <w:t>@</w:t>
      </w:r>
      <w:r w:rsidR="005C0C1F" w:rsidRPr="00754AAC">
        <w:t>griJobs</w:t>
      </w:r>
      <w:proofErr w:type="spellEnd"/>
      <w:r w:rsidR="005C0C1F" w:rsidRPr="00754AAC">
        <w:t xml:space="preserve"> dedicate agli studenti e finalizzate ad informare sulle professionalità richieste nella meccanica agricola e sulle prospettive professionali e occupazionali nel settore. Particolarmente vivace la serie di incontri promossi da ARPTRA, volti a fornire informazioni scientificamente corrette su temi – dalla </w:t>
      </w:r>
      <w:proofErr w:type="spellStart"/>
      <w:r w:rsidR="005C0C1F" w:rsidRPr="00754AAC">
        <w:t>Xylella</w:t>
      </w:r>
      <w:proofErr w:type="spellEnd"/>
      <w:r w:rsidR="005C0C1F" w:rsidRPr="00754AAC">
        <w:t xml:space="preserve"> agli OGM – che sono spesso oggetto di informazioni approssimative </w:t>
      </w:r>
      <w:r w:rsidR="005C0C1F">
        <w:t>o palesemente errate. Con n</w:t>
      </w:r>
      <w:r w:rsidR="00FB5E63">
        <w:t xml:space="preserve">umerose </w:t>
      </w:r>
      <w:r w:rsidR="005C0C1F">
        <w:t>iniziative promosse</w:t>
      </w:r>
      <w:r w:rsidR="005C0C1F" w:rsidRPr="00754AAC">
        <w:t xml:space="preserve"> da ITABIA</w:t>
      </w:r>
      <w:r w:rsidR="005C0C1F">
        <w:t xml:space="preserve"> (</w:t>
      </w:r>
      <w:proofErr w:type="spellStart"/>
      <w:r w:rsidR="005C0C1F">
        <w:t>Italian</w:t>
      </w:r>
      <w:proofErr w:type="spellEnd"/>
      <w:r w:rsidR="005C0C1F">
        <w:t xml:space="preserve"> </w:t>
      </w:r>
      <w:proofErr w:type="spellStart"/>
      <w:r w:rsidR="005C0C1F">
        <w:t>Biomass</w:t>
      </w:r>
      <w:proofErr w:type="spellEnd"/>
      <w:r w:rsidR="005C0C1F">
        <w:t xml:space="preserve"> </w:t>
      </w:r>
      <w:proofErr w:type="spellStart"/>
      <w:r w:rsidR="005C0C1F">
        <w:t>Association</w:t>
      </w:r>
      <w:proofErr w:type="spellEnd"/>
      <w:r w:rsidR="005C0C1F">
        <w:t>)</w:t>
      </w:r>
      <w:r w:rsidR="005C0C1F" w:rsidRPr="00754AAC">
        <w:t xml:space="preserve"> </w:t>
      </w:r>
      <w:proofErr w:type="spellStart"/>
      <w:r w:rsidR="005C0C1F" w:rsidRPr="00754AAC">
        <w:t>Agrilevante</w:t>
      </w:r>
      <w:proofErr w:type="spellEnd"/>
      <w:r w:rsidR="005C0C1F" w:rsidRPr="00754AAC">
        <w:t xml:space="preserve"> presidia i temi delle bioenergie e dell’economia circolare, come nel caso del Progetto “Capraia Smart Island”, che viene presentato in anteprima e che costituisce un esempio particolarmente interessante di impiego ottimizzato delle risorse locali, valido come prototipo per analoghi progetti su altre isole del Mediterraneo. Di prestigio, come sempre ad </w:t>
      </w:r>
      <w:proofErr w:type="spellStart"/>
      <w:r w:rsidR="005C0C1F" w:rsidRPr="00754AAC">
        <w:t>Agrilevante</w:t>
      </w:r>
      <w:proofErr w:type="spellEnd"/>
      <w:r w:rsidR="005C0C1F" w:rsidRPr="00754AAC">
        <w:t xml:space="preserve">, il </w:t>
      </w:r>
      <w:r w:rsidR="005C0C1F" w:rsidRPr="00754AAC">
        <w:lastRenderedPageBreak/>
        <w:t>calendario degli incontri promosso dalle case editrici L’Informatore Agrario (vedi fra gli altri i</w:t>
      </w:r>
      <w:r w:rsidR="00997B56">
        <w:t>l convegno sul tema “Grano duro: strumenti di protezione del reddito” e il w</w:t>
      </w:r>
      <w:r w:rsidR="005C0C1F" w:rsidRPr="00754AAC">
        <w:t xml:space="preserve">orkshop </w:t>
      </w:r>
      <w:r w:rsidR="00FB5E63">
        <w:t>s</w:t>
      </w:r>
      <w:r w:rsidR="005C0C1F" w:rsidRPr="00754AAC">
        <w:t xml:space="preserve">ulle </w:t>
      </w:r>
      <w:r w:rsidR="00FB5E63">
        <w:t>“A</w:t>
      </w:r>
      <w:r w:rsidR="005C0C1F" w:rsidRPr="00754AAC">
        <w:t xml:space="preserve">grotecniche innovative per l’uva da reddito”), e New Business Media, presente a Bari con il Tunnel dell’Innovazione Nova Agricoltura e con </w:t>
      </w:r>
      <w:r w:rsidR="00FB5E63">
        <w:t xml:space="preserve">eventi </w:t>
      </w:r>
      <w:r w:rsidR="005C0C1F" w:rsidRPr="00754AAC">
        <w:t xml:space="preserve">su temi legati all’impatto sulle coltivazioni dei cambiamenti climatici (fra gli altri vedi gli incontri su “Vite e cambiamenti climatici. Tecniche per contrastare gli effetti del global </w:t>
      </w:r>
      <w:proofErr w:type="spellStart"/>
      <w:r w:rsidR="005C0C1F" w:rsidRPr="00754AAC">
        <w:t>warming</w:t>
      </w:r>
      <w:proofErr w:type="spellEnd"/>
      <w:r w:rsidR="005C0C1F" w:rsidRPr="00754AAC">
        <w:t xml:space="preserve">” e su “Digital </w:t>
      </w:r>
      <w:proofErr w:type="spellStart"/>
      <w:r w:rsidR="005C0C1F" w:rsidRPr="00754AAC">
        <w:t>farming</w:t>
      </w:r>
      <w:proofErr w:type="spellEnd"/>
      <w:r w:rsidR="005C0C1F" w:rsidRPr="00754AAC">
        <w:t xml:space="preserve"> e </w:t>
      </w:r>
      <w:proofErr w:type="spellStart"/>
      <w:r w:rsidR="005C0C1F" w:rsidRPr="00754AAC">
        <w:t>sod</w:t>
      </w:r>
      <w:proofErr w:type="spellEnd"/>
      <w:r w:rsidR="005C0C1F" w:rsidRPr="00754AAC">
        <w:t xml:space="preserve"> </w:t>
      </w:r>
      <w:proofErr w:type="spellStart"/>
      <w:r w:rsidR="005C0C1F" w:rsidRPr="00754AAC">
        <w:t>seeding</w:t>
      </w:r>
      <w:proofErr w:type="spellEnd"/>
      <w:r w:rsidR="005C0C1F" w:rsidRPr="00754AAC">
        <w:t>, innovazione nella filiera del grano”</w:t>
      </w:r>
      <w:r>
        <w:t>)</w:t>
      </w:r>
      <w:r w:rsidR="005C0C1F" w:rsidRPr="00754AAC">
        <w:t xml:space="preserve">. Complessivamente sono oltre cinquanta i convegni, incontri e workshop che si terranno nei quattro giorni di </w:t>
      </w:r>
      <w:proofErr w:type="spellStart"/>
      <w:r w:rsidR="005C0C1F" w:rsidRPr="00754AAC">
        <w:t>Agrilevante</w:t>
      </w:r>
      <w:proofErr w:type="spellEnd"/>
      <w:r w:rsidR="005C0C1F" w:rsidRPr="00754AAC">
        <w:t>, aperti al pubblico degli agricoltori, dei contoterzisti e dei tecnici della meccanica agricola ma anche al mondo dei giov</w:t>
      </w:r>
      <w:r w:rsidR="00916B4D">
        <w:t>ani e delle famiglie interessati</w:t>
      </w:r>
      <w:r w:rsidR="005C0C1F" w:rsidRPr="00754AAC">
        <w:t xml:space="preserve"> all’economia e alla cultura rurale.                   </w:t>
      </w:r>
    </w:p>
    <w:p w:rsidR="00773D1C" w:rsidRPr="005C0C1F" w:rsidRDefault="00992BFF" w:rsidP="005E1B07">
      <w:pPr>
        <w:jc w:val="both"/>
      </w:pPr>
      <w:hyperlink r:id="rId8" w:history="1">
        <w:r w:rsidRPr="00992BFF">
          <w:rPr>
            <w:rStyle w:val="Collegamentoipertestuale"/>
          </w:rPr>
          <w:t>Segui gli aggiornamenti del programma</w:t>
        </w:r>
        <w:r w:rsidR="000273C0">
          <w:rPr>
            <w:rStyle w:val="Collegamentoipertestuale"/>
          </w:rPr>
          <w:t xml:space="preserve"> incontri </w:t>
        </w:r>
        <w:bookmarkStart w:id="0" w:name="_GoBack"/>
        <w:bookmarkEnd w:id="0"/>
        <w:r w:rsidRPr="00992BFF">
          <w:rPr>
            <w:rStyle w:val="Collegamentoipertestuale"/>
          </w:rPr>
          <w:t xml:space="preserve">sul sito </w:t>
        </w:r>
        <w:proofErr w:type="spellStart"/>
        <w:r w:rsidRPr="00992BFF">
          <w:rPr>
            <w:rStyle w:val="Collegamentoipertestuale"/>
          </w:rPr>
          <w:t>Agrilevante</w:t>
        </w:r>
        <w:proofErr w:type="spellEnd"/>
        <w:r w:rsidRPr="00992BFF">
          <w:rPr>
            <w:rStyle w:val="Collegamentoipertestuale"/>
          </w:rPr>
          <w:t>.</w:t>
        </w:r>
      </w:hyperlink>
      <w:r>
        <w:t xml:space="preserve"> </w:t>
      </w:r>
    </w:p>
    <w:p w:rsidR="005E1B07" w:rsidRPr="00B64F5A" w:rsidRDefault="00E718CB" w:rsidP="005E1B07">
      <w:pPr>
        <w:jc w:val="both"/>
        <w:rPr>
          <w:b/>
          <w:lang w:val="en-US"/>
        </w:rPr>
      </w:pPr>
      <w:r>
        <w:rPr>
          <w:b/>
          <w:lang w:val="en-US"/>
        </w:rPr>
        <w:t xml:space="preserve">Roma, </w:t>
      </w:r>
      <w:r w:rsidR="00992BFF">
        <w:rPr>
          <w:b/>
          <w:lang w:val="en-US"/>
        </w:rPr>
        <w:t xml:space="preserve">11 </w:t>
      </w:r>
      <w:proofErr w:type="spellStart"/>
      <w:r>
        <w:rPr>
          <w:b/>
          <w:lang w:val="en-US"/>
        </w:rPr>
        <w:t>o</w:t>
      </w:r>
      <w:r w:rsidR="009C7657">
        <w:rPr>
          <w:b/>
          <w:lang w:val="en-US"/>
        </w:rPr>
        <w:t>ttobre</w:t>
      </w:r>
      <w:proofErr w:type="spellEnd"/>
      <w:r w:rsidR="00304ABD">
        <w:rPr>
          <w:b/>
          <w:lang w:val="en-US"/>
        </w:rPr>
        <w:t xml:space="preserve"> </w:t>
      </w:r>
      <w:r w:rsidR="005E1B07">
        <w:rPr>
          <w:b/>
          <w:lang w:val="en-US"/>
        </w:rPr>
        <w:t>2017</w:t>
      </w:r>
    </w:p>
    <w:p w:rsidR="00604641" w:rsidRPr="005E1B07" w:rsidRDefault="00604641" w:rsidP="005E1B07">
      <w:pPr>
        <w:jc w:val="both"/>
        <w:rPr>
          <w:b/>
          <w:lang w:val="en-US"/>
        </w:rPr>
      </w:pPr>
      <w:r w:rsidRPr="005E1B07">
        <w:rPr>
          <w:lang w:val="en-US"/>
        </w:rPr>
        <w:tab/>
      </w:r>
      <w:r w:rsidRPr="005E1B07">
        <w:rPr>
          <w:lang w:val="en-US"/>
        </w:rPr>
        <w:tab/>
      </w:r>
    </w:p>
    <w:sectPr w:rsidR="00604641" w:rsidRPr="005E1B07" w:rsidSect="003A2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851" w:bottom="284" w:left="311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C3" w:rsidRDefault="00DF71C3">
      <w:r>
        <w:separator/>
      </w:r>
    </w:p>
  </w:endnote>
  <w:endnote w:type="continuationSeparator" w:id="0">
    <w:p w:rsidR="00DF71C3" w:rsidRDefault="00DF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942381"/>
      <w:docPartObj>
        <w:docPartGallery w:val="Page Numbers (Bottom of Page)"/>
        <w:docPartUnique/>
      </w:docPartObj>
    </w:sdtPr>
    <w:sdtEndPr/>
    <w:sdtContent>
      <w:p w:rsidR="0042382F" w:rsidRDefault="0042382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3C0">
          <w:rPr>
            <w:noProof/>
          </w:rPr>
          <w:t>2</w:t>
        </w:r>
        <w:r>
          <w:fldChar w:fldCharType="end"/>
        </w:r>
      </w:p>
    </w:sdtContent>
  </w:sdt>
  <w:p w:rsidR="00B14BE0" w:rsidRDefault="00B14BE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C3" w:rsidRDefault="00DF71C3">
      <w:r>
        <w:separator/>
      </w:r>
    </w:p>
  </w:footnote>
  <w:footnote w:type="continuationSeparator" w:id="0">
    <w:p w:rsidR="00DF71C3" w:rsidRDefault="00DF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41" w:rsidRDefault="00A65336">
    <w:pPr>
      <w:pStyle w:val="Intestazione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-2026285</wp:posOffset>
          </wp:positionH>
          <wp:positionV relativeFrom="paragraph">
            <wp:posOffset>-388620</wp:posOffset>
          </wp:positionV>
          <wp:extent cx="7601585" cy="10744200"/>
          <wp:effectExtent l="19050" t="0" r="0" b="0"/>
          <wp:wrapNone/>
          <wp:docPr id="30" name="Immagine 30" descr="CI Federunacoma Surl AGR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I Federunacoma Surl AGR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074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2A9E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6C5C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DA850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741E2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CD54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30070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9406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9a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A7"/>
    <w:rsid w:val="000273C0"/>
    <w:rsid w:val="000625F8"/>
    <w:rsid w:val="00131680"/>
    <w:rsid w:val="00162BE3"/>
    <w:rsid w:val="001A728F"/>
    <w:rsid w:val="00201BF7"/>
    <w:rsid w:val="00206A25"/>
    <w:rsid w:val="00211418"/>
    <w:rsid w:val="0028480D"/>
    <w:rsid w:val="002A6083"/>
    <w:rsid w:val="00304ABD"/>
    <w:rsid w:val="0036282B"/>
    <w:rsid w:val="00391BD6"/>
    <w:rsid w:val="003A2106"/>
    <w:rsid w:val="003D252F"/>
    <w:rsid w:val="0040339F"/>
    <w:rsid w:val="0042113E"/>
    <w:rsid w:val="0042382F"/>
    <w:rsid w:val="004C219C"/>
    <w:rsid w:val="00531DD2"/>
    <w:rsid w:val="00537EC4"/>
    <w:rsid w:val="005C0C1F"/>
    <w:rsid w:val="005E1B07"/>
    <w:rsid w:val="00604641"/>
    <w:rsid w:val="00651D27"/>
    <w:rsid w:val="00676B55"/>
    <w:rsid w:val="00773D1C"/>
    <w:rsid w:val="007A33A7"/>
    <w:rsid w:val="008153E6"/>
    <w:rsid w:val="008D375C"/>
    <w:rsid w:val="008E5C69"/>
    <w:rsid w:val="00916B4D"/>
    <w:rsid w:val="009326D2"/>
    <w:rsid w:val="00992BFF"/>
    <w:rsid w:val="00997B56"/>
    <w:rsid w:val="009A4B75"/>
    <w:rsid w:val="009B3E14"/>
    <w:rsid w:val="009C7657"/>
    <w:rsid w:val="009E210D"/>
    <w:rsid w:val="00A65336"/>
    <w:rsid w:val="00AF48F6"/>
    <w:rsid w:val="00B14BE0"/>
    <w:rsid w:val="00B21C0F"/>
    <w:rsid w:val="00B56486"/>
    <w:rsid w:val="00B56507"/>
    <w:rsid w:val="00B63BB3"/>
    <w:rsid w:val="00B85A7A"/>
    <w:rsid w:val="00BD2E6F"/>
    <w:rsid w:val="00C1182F"/>
    <w:rsid w:val="00C416D1"/>
    <w:rsid w:val="00CD7277"/>
    <w:rsid w:val="00DD4DD1"/>
    <w:rsid w:val="00DF71C3"/>
    <w:rsid w:val="00E56406"/>
    <w:rsid w:val="00E718CB"/>
    <w:rsid w:val="00EF4EF3"/>
    <w:rsid w:val="00F33BF1"/>
    <w:rsid w:val="00FA4C71"/>
    <w:rsid w:val="00FB5E63"/>
    <w:rsid w:val="00FB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a8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color w:val="00000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2268"/>
      </w:tabs>
      <w:spacing w:line="276" w:lineRule="auto"/>
      <w:outlineLvl w:val="5"/>
    </w:pPr>
    <w:rPr>
      <w:i/>
      <w:color w:val="000000"/>
    </w:rPr>
  </w:style>
  <w:style w:type="paragraph" w:styleId="Titolo7">
    <w:name w:val="heading 7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6"/>
    </w:pPr>
    <w:rPr>
      <w:i/>
      <w:color w:val="000000"/>
    </w:rPr>
  </w:style>
  <w:style w:type="paragraph" w:styleId="Titolo8">
    <w:name w:val="heading 8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b/>
    </w:rPr>
  </w:style>
  <w:style w:type="paragraph" w:styleId="Corpodeltesto2">
    <w:name w:val="Body Text 2"/>
    <w:basedOn w:val="Normale"/>
    <w:semiHidden/>
    <w:pPr>
      <w:jc w:val="both"/>
    </w:pPr>
    <w:rPr>
      <w:color w:val="000000"/>
    </w:rPr>
  </w:style>
  <w:style w:type="paragraph" w:styleId="Corpodeltesto3">
    <w:name w:val="Body Text 3"/>
    <w:basedOn w:val="Normale"/>
    <w:semiHidden/>
    <w:pPr>
      <w:jc w:val="both"/>
    </w:pPr>
    <w:rPr>
      <w:color w:val="000000"/>
      <w:sz w:val="28"/>
    </w:rPr>
  </w:style>
  <w:style w:type="paragraph" w:customStyle="1" w:styleId="Normale3">
    <w:name w:val="Normale3"/>
    <w:rPr>
      <w:rFonts w:eastAsia="ヒラギノ角ゴ Pro W3"/>
      <w:color w:val="000000"/>
      <w:sz w:val="24"/>
    </w:rPr>
  </w:style>
  <w:style w:type="paragraph" w:styleId="Rientrocorpodeltesto">
    <w:name w:val="Body Text Indent"/>
    <w:basedOn w:val="Normale"/>
    <w:semiHidden/>
    <w:pPr>
      <w:ind w:left="120" w:firstLine="708"/>
      <w:jc w:val="both"/>
    </w:pPr>
    <w:rPr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firstLine="240"/>
    </w:pPr>
    <w:rPr>
      <w:lang w:val="en-GB"/>
    </w:rPr>
  </w:style>
  <w:style w:type="paragraph" w:styleId="Rientrocorpodeltesto3">
    <w:name w:val="Body Text Indent 3"/>
    <w:basedOn w:val="Normale"/>
    <w:semiHidden/>
    <w:pPr>
      <w:ind w:firstLine="708"/>
      <w:jc w:val="both"/>
    </w:p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Normale1">
    <w:name w:val="Normale1"/>
    <w:rsid w:val="00B14BE0"/>
    <w:rPr>
      <w:rFonts w:ascii="Liberation Serif" w:eastAsia="Liberation Serif" w:hAnsi="Liberation Serif" w:cs="Liberation Serif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BE0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92B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92BF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color w:val="00000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2268"/>
      </w:tabs>
      <w:spacing w:line="276" w:lineRule="auto"/>
      <w:outlineLvl w:val="5"/>
    </w:pPr>
    <w:rPr>
      <w:i/>
      <w:color w:val="000000"/>
    </w:rPr>
  </w:style>
  <w:style w:type="paragraph" w:styleId="Titolo7">
    <w:name w:val="heading 7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6"/>
    </w:pPr>
    <w:rPr>
      <w:i/>
      <w:color w:val="000000"/>
    </w:rPr>
  </w:style>
  <w:style w:type="paragraph" w:styleId="Titolo8">
    <w:name w:val="heading 8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b/>
    </w:rPr>
  </w:style>
  <w:style w:type="paragraph" w:styleId="Corpodeltesto2">
    <w:name w:val="Body Text 2"/>
    <w:basedOn w:val="Normale"/>
    <w:semiHidden/>
    <w:pPr>
      <w:jc w:val="both"/>
    </w:pPr>
    <w:rPr>
      <w:color w:val="000000"/>
    </w:rPr>
  </w:style>
  <w:style w:type="paragraph" w:styleId="Corpodeltesto3">
    <w:name w:val="Body Text 3"/>
    <w:basedOn w:val="Normale"/>
    <w:semiHidden/>
    <w:pPr>
      <w:jc w:val="both"/>
    </w:pPr>
    <w:rPr>
      <w:color w:val="000000"/>
      <w:sz w:val="28"/>
    </w:rPr>
  </w:style>
  <w:style w:type="paragraph" w:customStyle="1" w:styleId="Normale3">
    <w:name w:val="Normale3"/>
    <w:rPr>
      <w:rFonts w:eastAsia="ヒラギノ角ゴ Pro W3"/>
      <w:color w:val="000000"/>
      <w:sz w:val="24"/>
    </w:rPr>
  </w:style>
  <w:style w:type="paragraph" w:styleId="Rientrocorpodeltesto">
    <w:name w:val="Body Text Indent"/>
    <w:basedOn w:val="Normale"/>
    <w:semiHidden/>
    <w:pPr>
      <w:ind w:left="120" w:firstLine="708"/>
      <w:jc w:val="both"/>
    </w:pPr>
    <w:rPr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firstLine="240"/>
    </w:pPr>
    <w:rPr>
      <w:lang w:val="en-GB"/>
    </w:rPr>
  </w:style>
  <w:style w:type="paragraph" w:styleId="Rientrocorpodeltesto3">
    <w:name w:val="Body Text Indent 3"/>
    <w:basedOn w:val="Normale"/>
    <w:semiHidden/>
    <w:pPr>
      <w:ind w:firstLine="708"/>
      <w:jc w:val="both"/>
    </w:p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Normale1">
    <w:name w:val="Normale1"/>
    <w:rsid w:val="00B14BE0"/>
    <w:rPr>
      <w:rFonts w:ascii="Liberation Serif" w:eastAsia="Liberation Serif" w:hAnsi="Liberation Serif" w:cs="Liberation Serif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BE0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92B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92B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levante.eu/it/index.ph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rilevante\CS%2016%20febbraio%202017\Comunicato%20stampa%20Agrilevante%20Innovazioni%20mirate%20la%20strategia%20di%20Agrilevante%2016%20febbraio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 Agrilevante Innovazioni mirate la strategia di Agrilevante 16 febbraio 2017</Template>
  <TotalTime>10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Menicucci</cp:lastModifiedBy>
  <cp:revision>3</cp:revision>
  <cp:lastPrinted>2017-01-30T16:15:00Z</cp:lastPrinted>
  <dcterms:created xsi:type="dcterms:W3CDTF">2017-10-11T12:36:00Z</dcterms:created>
  <dcterms:modified xsi:type="dcterms:W3CDTF">2017-10-11T15:45:00Z</dcterms:modified>
</cp:coreProperties>
</file>